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 2</w:t>
      </w:r>
      <w:r>
        <w:rPr>
          <w:rFonts w:cs="Times New Roman" w:ascii="Times New Roman" w:hAnsi="Times New Roman"/>
          <w:b/>
          <w:sz w:val="28"/>
          <w:szCs w:val="28"/>
        </w:rPr>
        <w:t>. Двійкове кодування. Одиниці вимірювання довжини двійкового коду. Кодування символів.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сформувати поняття: двійкове кодування, код символа, таблиця кодів, довжина двійкового коду; сформувати знання: про принцип двійкового кодування даних та його переваги для технічної реалізації, одиниці вимірювання довжини двійкового коду; сформувати вміння користуватися кодовими таблицями для визначення коду символа та символа за відомим кодом, оцінювати довжину двійкового коду текстових даних;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логічне мислення;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MicrosoftExcel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Методичний прийом «Лицарський турнір»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Двоє учнів виходять до дошки. Один ставить іншому запитання, підготовлені вдома. Другий відповідає і після цього ставить своє запитання.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Слово вчителя</w:t>
      </w:r>
      <w:r>
        <w:rPr>
          <w:rFonts w:cs="Times New Roman" w:ascii="Times New Roman" w:hAnsi="Times New Roman"/>
          <w:sz w:val="28"/>
          <w:szCs w:val="28"/>
        </w:rPr>
        <w:t>. Для опрацювання комп'ютером всі дані потрібно кодувати. Але який спосіб кодування є найзручнішим для технічної реалізації?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i/>
          <w:sz w:val="28"/>
          <w:szCs w:val="28"/>
        </w:rPr>
        <w:t>: § 2.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V. Фізкультхвилинка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 ст. 10-11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Рефлексія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Що нового ви сьогодні дізналися?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Чого навчилися?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Чи виникали труднощі?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Підручник§ 1 ст. 8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-13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2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2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8a51d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2">
    <w:name w:val="Верхни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8a51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LibreOffice/5.1.1.3$Windows_x86 LibreOffice_project/89f508ef3ecebd2cfb8e1def0f0ba9a803b88a6d</Application>
  <Pages>2</Pages>
  <Words>248</Words>
  <Characters>1696</Characters>
  <CharactersWithSpaces>1895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2016-08-31T19:52:53Z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